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EDA3C56"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521CE14">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0546B"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1549A3E9" w:rsidR="00293070" w:rsidRPr="00197912" w:rsidRDefault="007A0D60"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081E2490">
                <wp:simplePos x="0" y="0"/>
                <wp:positionH relativeFrom="margin">
                  <wp:align>center</wp:align>
                </wp:positionH>
                <wp:positionV relativeFrom="paragraph">
                  <wp:posOffset>188595</wp:posOffset>
                </wp:positionV>
                <wp:extent cx="6867525" cy="156210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5621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E89B4" id="Rechteck 10" o:spid="_x0000_s1026" style="position:absolute;margin-left:0;margin-top:14.85pt;width:540.75pt;height:123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" fillcolor="white [3201]" strokecolor="#003d82" strokeweight="2.25pt">
                <w10:wrap anchorx="margin"/>
              </v:rect>
            </w:pict>
          </mc:Fallback>
        </mc:AlternateContent>
      </w:r>
    </w:p>
    <w:p w14:paraId="435358C9" w14:textId="2459A6F5" w:rsidR="002D62A5" w:rsidRPr="002D62A5" w:rsidRDefault="007C0C44" w:rsidP="00802197">
      <w:pPr>
        <w:pStyle w:val="Titre"/>
      </w:pPr>
      <w:r w:rsidRPr="004974B7">
        <w:t xml:space="preserve">European Blind Union response to </w:t>
      </w:r>
      <w:r w:rsidR="00A577C1">
        <w:t xml:space="preserve">the European Commission’s </w:t>
      </w:r>
      <w:r w:rsidR="002D6F0D">
        <w:t xml:space="preserve">public consultation on </w:t>
      </w:r>
      <w:r w:rsidR="00D901B0">
        <w:t>a sustainable EU food system</w:t>
      </w:r>
    </w:p>
    <w:p w14:paraId="67D6ACBF" w14:textId="77777777" w:rsidR="00197912" w:rsidRPr="00197912" w:rsidRDefault="00197912" w:rsidP="00D543AE">
      <w:pPr>
        <w:rPr>
          <w:sz w:val="40"/>
          <w:lang w:val="en-GB"/>
        </w:rPr>
      </w:pPr>
    </w:p>
    <w:p w14:paraId="7BF5A919" w14:textId="40976E59" w:rsidR="008446F0" w:rsidRPr="00CF3E29" w:rsidRDefault="00197912" w:rsidP="00CF3E29">
      <w:pPr>
        <w:jc w:val="center"/>
      </w:pPr>
      <w:r>
        <w:t xml:space="preserve">EBU Position Paper | </w:t>
      </w:r>
      <w:r w:rsidR="00D901B0">
        <w:t>July</w:t>
      </w:r>
      <w:r w:rsidR="006B380F">
        <w:t xml:space="preserve"> 202</w:t>
      </w:r>
      <w:r w:rsidR="00C76ED2">
        <w:t>2</w:t>
      </w:r>
    </w:p>
    <w:p w14:paraId="7C352E01" w14:textId="77777777" w:rsidR="00982C6A" w:rsidRPr="001E4A81" w:rsidRDefault="00982C6A" w:rsidP="00F61067">
      <w:pPr>
        <w:jc w:val="center"/>
        <w:rPr>
          <w:sz w:val="40"/>
          <w:szCs w:val="36"/>
          <w:lang w:val="en-GB"/>
        </w:rPr>
      </w:pPr>
    </w:p>
    <w:p w14:paraId="345EDF94" w14:textId="6005A5F9" w:rsidR="0061773D" w:rsidRDefault="002F3E52" w:rsidP="00805C3A">
      <w:pPr>
        <w:pStyle w:val="Sous-titre"/>
      </w:pPr>
      <w:r>
        <w:t>Aim</w:t>
      </w:r>
      <w:r w:rsidR="00377361" w:rsidRPr="004974B7">
        <w:t xml:space="preserve"> of the consultation</w:t>
      </w:r>
    </w:p>
    <w:p w14:paraId="62BB06A7" w14:textId="0FB5EC17" w:rsidR="00802197" w:rsidRPr="00C907D2" w:rsidRDefault="00802197" w:rsidP="00CF3E29">
      <w:pPr>
        <w:spacing w:line="259" w:lineRule="auto"/>
        <w:rPr>
          <w:rStyle w:val="Accentuationlgre"/>
          <w:rFonts w:ascii="Calibri" w:eastAsia="Calibri" w:hAnsi="Calibri"/>
          <w:color w:val="auto"/>
          <w:sz w:val="22"/>
          <w:szCs w:val="22"/>
          <w:lang w:val="en-US"/>
        </w:rPr>
      </w:pPr>
    </w:p>
    <w:p w14:paraId="7FD7C1EC" w14:textId="6FAE7B1C" w:rsidR="00D901B0" w:rsidRDefault="001F0060" w:rsidP="00782248">
      <w:pPr>
        <w:rPr>
          <w:lang w:val="en-GB"/>
        </w:rPr>
      </w:pPr>
      <w:r w:rsidRPr="00FC4894">
        <w:rPr>
          <w:lang w:val="en-GB"/>
        </w:rPr>
        <w:t>The European Commission indicates: “</w:t>
      </w:r>
      <w:r w:rsidR="00D901B0" w:rsidRPr="00D901B0">
        <w:rPr>
          <w:lang w:val="en-GB"/>
        </w:rPr>
        <w:t xml:space="preserve">The aim of this public consultation is to gather opinions and evidence from all relevant stakeholders (citizens, economic operators of all sizes, including SMEs, and organisations representing them, consumer organisations, social partners, NGOs, public authorities at all governance levels, public purchasers, </w:t>
      </w:r>
      <w:proofErr w:type="gramStart"/>
      <w:r w:rsidR="00D901B0" w:rsidRPr="00D901B0">
        <w:rPr>
          <w:lang w:val="en-GB"/>
        </w:rPr>
        <w:t>academia</w:t>
      </w:r>
      <w:proofErr w:type="gramEnd"/>
      <w:r w:rsidR="00D901B0" w:rsidRPr="00D901B0">
        <w:rPr>
          <w:lang w:val="en-GB"/>
        </w:rPr>
        <w:t xml:space="preserve"> and research institutions, as well as any other interested stakeholder) on the key issues the initiative aims to address. This consultation takes a high-level approach, focusing on overarching issues related to food system sustainability, so it is therefore aimed to attract a broad range of responses, from all stakeholder categories previously mentioned. The questionnaire is accessible in all official EU languages.</w:t>
      </w:r>
      <w:r w:rsidR="00D901B0">
        <w:rPr>
          <w:lang w:val="en-GB"/>
        </w:rPr>
        <w:t>”</w:t>
      </w:r>
    </w:p>
    <w:p w14:paraId="13B5E0C7" w14:textId="437CF2A8" w:rsidR="00D901B0" w:rsidRDefault="00D901B0" w:rsidP="00782248">
      <w:pPr>
        <w:rPr>
          <w:lang w:val="en-GB"/>
        </w:rPr>
      </w:pPr>
    </w:p>
    <w:p w14:paraId="2B75F1FF" w14:textId="150D976E" w:rsidR="00D901B0" w:rsidRDefault="00FC4894" w:rsidP="00782248">
      <w:pPr>
        <w:rPr>
          <w:lang w:val="en-GB"/>
        </w:rPr>
      </w:pPr>
      <w:r>
        <w:rPr>
          <w:lang w:val="en-GB"/>
        </w:rPr>
        <w:t>And the Commission recalls that “</w:t>
      </w:r>
      <w:r w:rsidRPr="00FC4894">
        <w:rPr>
          <w:lang w:val="en-GB"/>
        </w:rPr>
        <w:t>the Farm to Fork Strategy announced an initiative for a horizontal framework law, to accelerate and facilitate the transition to sustainability and ensure that foods placed on the EU market increasingly become sustainable. Such an EU level intervention aims to establish new foundations for future food policies by introducing sustainability objectives and principles based on an integrated food system approach.</w:t>
      </w:r>
      <w:r>
        <w:rPr>
          <w:lang w:val="en-GB"/>
        </w:rPr>
        <w:t>”</w:t>
      </w:r>
    </w:p>
    <w:p w14:paraId="45771873" w14:textId="04F1C42E" w:rsidR="00582939" w:rsidRDefault="00582939" w:rsidP="00782248">
      <w:pPr>
        <w:rPr>
          <w:lang w:val="en-GB"/>
        </w:rPr>
      </w:pPr>
    </w:p>
    <w:p w14:paraId="49FFC85D" w14:textId="77777777" w:rsidR="00582939" w:rsidRDefault="00582939" w:rsidP="00782248">
      <w:pPr>
        <w:rPr>
          <w:lang w:val="en-GB"/>
        </w:rPr>
      </w:pPr>
    </w:p>
    <w:p w14:paraId="02C5BE0D" w14:textId="77777777" w:rsidR="002D6F0D" w:rsidRDefault="002D6F0D" w:rsidP="002D6F0D">
      <w:pPr>
        <w:rPr>
          <w:lang w:val="en-GB"/>
        </w:rPr>
      </w:pPr>
    </w:p>
    <w:p w14:paraId="33BF371E" w14:textId="77777777" w:rsidR="00042E4F" w:rsidRDefault="00042E4F" w:rsidP="00582939">
      <w:pPr>
        <w:pStyle w:val="Sous-titre"/>
        <w:spacing w:after="240"/>
        <w:rPr>
          <w:rStyle w:val="Accentuationlgre"/>
        </w:rPr>
      </w:pPr>
    </w:p>
    <w:p w14:paraId="0FF19BF6" w14:textId="642327EA" w:rsidR="00B501D1" w:rsidRPr="00582939" w:rsidRDefault="00582939" w:rsidP="00582939">
      <w:pPr>
        <w:pStyle w:val="Sous-titre"/>
        <w:spacing w:after="240"/>
      </w:pPr>
      <w:r w:rsidRPr="00582939">
        <w:rPr>
          <w:rStyle w:val="Accentuationlgre"/>
        </w:rPr>
        <w:t>General remarks</w:t>
      </w:r>
    </w:p>
    <w:p w14:paraId="528149DA" w14:textId="05028361" w:rsidR="00742588" w:rsidRPr="00742588" w:rsidRDefault="00742588" w:rsidP="00742588">
      <w:pPr>
        <w:spacing w:after="240"/>
        <w:rPr>
          <w:rStyle w:val="Accentuationintense"/>
        </w:rPr>
      </w:pPr>
      <w:r w:rsidRPr="00742588">
        <w:rPr>
          <w:rStyle w:val="Accentuationintense"/>
        </w:rPr>
        <w:t>A broad definition of sustainability, that includes social inclusion</w:t>
      </w:r>
    </w:p>
    <w:p w14:paraId="59E65BD4" w14:textId="3395CCB2" w:rsidR="001975C2" w:rsidRDefault="001975C2" w:rsidP="00742588">
      <w:pPr>
        <w:spacing w:after="240"/>
        <w:rPr>
          <w:lang w:val="en-GB"/>
        </w:rPr>
      </w:pPr>
      <w:r>
        <w:rPr>
          <w:lang w:val="en-GB"/>
        </w:rPr>
        <w:t>It is a good thing that t</w:t>
      </w:r>
      <w:r w:rsidR="00742588" w:rsidRPr="00742588">
        <w:rPr>
          <w:lang w:val="en-GB"/>
        </w:rPr>
        <w:t xml:space="preserve">he definition of ‘sustainable food system’ in this initiative includes social inclusiveness. </w:t>
      </w:r>
      <w:r>
        <w:rPr>
          <w:lang w:val="en-GB"/>
        </w:rPr>
        <w:t>We infer from this that s</w:t>
      </w:r>
      <w:r w:rsidR="00742588" w:rsidRPr="00742588">
        <w:rPr>
          <w:lang w:val="en-GB"/>
        </w:rPr>
        <w:t xml:space="preserve">ustainable labelling should therefore be understood as labelling that </w:t>
      </w:r>
      <w:r w:rsidR="00665069" w:rsidRPr="00742588">
        <w:rPr>
          <w:lang w:val="en-GB"/>
        </w:rPr>
        <w:t>considers</w:t>
      </w:r>
      <w:r w:rsidR="00742588" w:rsidRPr="00742588">
        <w:rPr>
          <w:lang w:val="en-GB"/>
        </w:rPr>
        <w:t xml:space="preserve"> the needs of consumers with a visual impairment. </w:t>
      </w:r>
    </w:p>
    <w:p w14:paraId="7C68EDA5" w14:textId="2B894C28" w:rsidR="00742588" w:rsidRPr="00742588" w:rsidRDefault="001975C2" w:rsidP="00742588">
      <w:pPr>
        <w:spacing w:after="240"/>
        <w:rPr>
          <w:lang w:val="en-GB"/>
        </w:rPr>
      </w:pPr>
      <w:r>
        <w:rPr>
          <w:lang w:val="en-GB"/>
        </w:rPr>
        <w:t xml:space="preserve">But disappointingly, </w:t>
      </w:r>
      <w:r w:rsidR="00742588" w:rsidRPr="00742588">
        <w:rPr>
          <w:lang w:val="en-GB"/>
        </w:rPr>
        <w:t xml:space="preserve">there is </w:t>
      </w:r>
      <w:r w:rsidR="00742588" w:rsidRPr="001975C2">
        <w:rPr>
          <w:rStyle w:val="Accentuationintense"/>
          <w:lang w:val="en-GB"/>
        </w:rPr>
        <w:t>no mention of disability or people with disabilities, nor of social inclusion</w:t>
      </w:r>
      <w:r w:rsidRPr="001975C2">
        <w:rPr>
          <w:rStyle w:val="Accentuationintense"/>
        </w:rPr>
        <w:t xml:space="preserve"> more generally,</w:t>
      </w:r>
      <w:r w:rsidR="00742588" w:rsidRPr="001975C2">
        <w:rPr>
          <w:rStyle w:val="Accentuationintense"/>
          <w:lang w:val="en-GB"/>
        </w:rPr>
        <w:t xml:space="preserve"> in the </w:t>
      </w:r>
      <w:r>
        <w:rPr>
          <w:rStyle w:val="Accentuationintense"/>
          <w:lang w:val="en-GB"/>
        </w:rPr>
        <w:t xml:space="preserve">consultation’s </w:t>
      </w:r>
      <w:r w:rsidR="00742588" w:rsidRPr="001975C2">
        <w:rPr>
          <w:rStyle w:val="Accentuationintense"/>
          <w:lang w:val="en-GB"/>
        </w:rPr>
        <w:t>questionnaire</w:t>
      </w:r>
      <w:r w:rsidR="00742588" w:rsidRPr="00742588">
        <w:rPr>
          <w:lang w:val="en-GB"/>
        </w:rPr>
        <w:t xml:space="preserve">. </w:t>
      </w:r>
    </w:p>
    <w:p w14:paraId="6071CF52" w14:textId="77777777" w:rsidR="00742588" w:rsidRPr="00742588" w:rsidRDefault="00742588" w:rsidP="00742588">
      <w:pPr>
        <w:spacing w:after="240"/>
        <w:rPr>
          <w:lang w:val="en-GB"/>
        </w:rPr>
      </w:pPr>
      <w:r w:rsidRPr="00742588">
        <w:rPr>
          <w:lang w:val="en-GB"/>
        </w:rPr>
        <w:t>Accessibility is mentioned twice in the consultation’s questionnaire:</w:t>
      </w:r>
    </w:p>
    <w:p w14:paraId="092B6AB6" w14:textId="78F17C9F" w:rsidR="00742588" w:rsidRPr="00742588" w:rsidRDefault="00742588" w:rsidP="00742588">
      <w:pPr>
        <w:spacing w:after="240"/>
        <w:rPr>
          <w:lang w:val="en-GB"/>
        </w:rPr>
      </w:pPr>
      <w:r w:rsidRPr="00742588">
        <w:rPr>
          <w:lang w:val="en-GB"/>
        </w:rPr>
        <w:t>-</w:t>
      </w:r>
      <w:r w:rsidRPr="00742588">
        <w:rPr>
          <w:lang w:val="en-GB"/>
        </w:rPr>
        <w:tab/>
      </w:r>
      <w:r w:rsidR="00042E4F">
        <w:rPr>
          <w:lang w:val="en-GB"/>
        </w:rPr>
        <w:t>About</w:t>
      </w:r>
      <w:r w:rsidRPr="00742588">
        <w:rPr>
          <w:lang w:val="en-GB"/>
        </w:rPr>
        <w:t xml:space="preserve"> “accessibility to sustainable processes” as a factor preventing food system actors from making sustainable choices in the production/processing/distribution/consumption of food products; and</w:t>
      </w:r>
    </w:p>
    <w:p w14:paraId="61A98D80" w14:textId="3B8BE7CC" w:rsidR="00742588" w:rsidRPr="00742588" w:rsidRDefault="00742588" w:rsidP="00742588">
      <w:pPr>
        <w:spacing w:after="240"/>
        <w:rPr>
          <w:lang w:val="en-GB"/>
        </w:rPr>
      </w:pPr>
      <w:r w:rsidRPr="00742588">
        <w:rPr>
          <w:lang w:val="en-GB"/>
        </w:rPr>
        <w:t>-</w:t>
      </w:r>
      <w:r w:rsidRPr="00742588">
        <w:rPr>
          <w:lang w:val="en-GB"/>
        </w:rPr>
        <w:tab/>
      </w:r>
      <w:r w:rsidR="00042E4F">
        <w:rPr>
          <w:lang w:val="en-GB"/>
        </w:rPr>
        <w:t>About</w:t>
      </w:r>
      <w:r w:rsidRPr="00742588">
        <w:rPr>
          <w:lang w:val="en-GB"/>
        </w:rPr>
        <w:t xml:space="preserve"> “accessibility of sustainable food” as an aspect not to be harmed by the activity of a food system actor.</w:t>
      </w:r>
    </w:p>
    <w:p w14:paraId="40A648FB" w14:textId="4DA5BBF9" w:rsidR="00742588" w:rsidRPr="00742588" w:rsidRDefault="001975C2" w:rsidP="00742588">
      <w:pPr>
        <w:spacing w:after="240"/>
        <w:rPr>
          <w:lang w:val="en-GB"/>
        </w:rPr>
      </w:pPr>
      <w:r>
        <w:rPr>
          <w:lang w:val="en-GB"/>
        </w:rPr>
        <w:t xml:space="preserve">From the way these questions are formulated, </w:t>
      </w:r>
      <w:r w:rsidRPr="00665069">
        <w:rPr>
          <w:rStyle w:val="Accentuationintense"/>
        </w:rPr>
        <w:t xml:space="preserve">accessibility does not appear to </w:t>
      </w:r>
      <w:r w:rsidR="00665069" w:rsidRPr="00665069">
        <w:rPr>
          <w:rStyle w:val="Accentuationintense"/>
        </w:rPr>
        <w:t>be addressed</w:t>
      </w:r>
      <w:r w:rsidRPr="00665069">
        <w:rPr>
          <w:rStyle w:val="Accentuationintense"/>
        </w:rPr>
        <w:t xml:space="preserve"> as a matter, for </w:t>
      </w:r>
      <w:r w:rsidR="00742588" w:rsidRPr="00665069">
        <w:rPr>
          <w:rStyle w:val="Accentuationintense"/>
          <w:lang w:val="en-GB"/>
        </w:rPr>
        <w:t>visually impaired people</w:t>
      </w:r>
      <w:r w:rsidRPr="00665069">
        <w:rPr>
          <w:rStyle w:val="Accentuationintense"/>
        </w:rPr>
        <w:t xml:space="preserve">, to be able </w:t>
      </w:r>
      <w:r w:rsidR="00742588" w:rsidRPr="00665069">
        <w:rPr>
          <w:rStyle w:val="Accentuationintense"/>
          <w:lang w:val="en-GB"/>
        </w:rPr>
        <w:t xml:space="preserve">to make autonomous informed choices </w:t>
      </w:r>
      <w:r w:rsidR="00665069" w:rsidRPr="00665069">
        <w:rPr>
          <w:rStyle w:val="Accentuationintense"/>
        </w:rPr>
        <w:t xml:space="preserve">about food products </w:t>
      </w:r>
      <w:r w:rsidR="00742588" w:rsidRPr="00665069">
        <w:rPr>
          <w:rStyle w:val="Accentuationintense"/>
          <w:lang w:val="en-GB"/>
        </w:rPr>
        <w:t>as consumers</w:t>
      </w:r>
      <w:r w:rsidR="00742588" w:rsidRPr="00742588">
        <w:rPr>
          <w:lang w:val="en-GB"/>
        </w:rPr>
        <w:t>.</w:t>
      </w:r>
    </w:p>
    <w:p w14:paraId="464AAB16" w14:textId="177A350A" w:rsidR="00742588" w:rsidRPr="00742588" w:rsidRDefault="00742588" w:rsidP="00742588">
      <w:pPr>
        <w:spacing w:after="240"/>
        <w:rPr>
          <w:lang w:val="en-GB"/>
        </w:rPr>
      </w:pPr>
      <w:r w:rsidRPr="00742588">
        <w:rPr>
          <w:lang w:val="en-GB"/>
        </w:rPr>
        <w:t xml:space="preserve">In the past, EBU has successfully campaigned for EU legislation requiring that there be Braille labelling on pharmaceutical products. This was a real breakthrough for blind users. </w:t>
      </w:r>
      <w:r w:rsidR="00665069" w:rsidRPr="00665069">
        <w:rPr>
          <w:rStyle w:val="Accentuationintense"/>
        </w:rPr>
        <w:t>Accessible</w:t>
      </w:r>
      <w:r w:rsidRPr="00665069">
        <w:rPr>
          <w:rStyle w:val="Accentuationintense"/>
          <w:lang w:val="en-GB"/>
        </w:rPr>
        <w:t xml:space="preserve"> labelling of food products</w:t>
      </w:r>
      <w:r w:rsidRPr="00742588">
        <w:rPr>
          <w:lang w:val="en-GB"/>
        </w:rPr>
        <w:t>, which concerns everyday life, deserves the same attention from the EU law makers, at least focusing as a first intermediary step on largely used food products.</w:t>
      </w:r>
    </w:p>
    <w:p w14:paraId="39924608" w14:textId="77777777" w:rsidR="00742588" w:rsidRPr="00742588" w:rsidRDefault="00742588" w:rsidP="00742588">
      <w:pPr>
        <w:spacing w:after="240"/>
        <w:rPr>
          <w:lang w:val="en-GB"/>
        </w:rPr>
      </w:pPr>
      <w:r w:rsidRPr="00665069">
        <w:rPr>
          <w:rStyle w:val="Accentuationintense"/>
          <w:lang w:val="en-GB"/>
        </w:rPr>
        <w:t>Braille</w:t>
      </w:r>
      <w:r w:rsidRPr="00742588">
        <w:rPr>
          <w:lang w:val="en-GB"/>
        </w:rPr>
        <w:t xml:space="preserve"> labelling on food packaging should become more than just a spontaneous good practice of some actors of the food supply chain. The </w:t>
      </w:r>
      <w:r w:rsidRPr="00665069">
        <w:rPr>
          <w:rStyle w:val="Accentuationintense"/>
          <w:lang w:val="en-GB"/>
        </w:rPr>
        <w:t>possibilities opened by new ICT</w:t>
      </w:r>
      <w:r w:rsidRPr="00742588">
        <w:rPr>
          <w:lang w:val="en-GB"/>
        </w:rPr>
        <w:t xml:space="preserve"> should also be considered, such as, for example, the possibility to identify a product through a smartphone or a specific device.</w:t>
      </w:r>
    </w:p>
    <w:p w14:paraId="560490B5" w14:textId="77777777" w:rsidR="00042E4F" w:rsidRDefault="00042E4F" w:rsidP="00582939">
      <w:pPr>
        <w:pStyle w:val="Sous-titre"/>
        <w:spacing w:after="240"/>
        <w:rPr>
          <w:rStyle w:val="Accentuationlgre"/>
        </w:rPr>
      </w:pPr>
    </w:p>
    <w:p w14:paraId="4B273A94" w14:textId="49B23E15" w:rsidR="002F7F8C" w:rsidRPr="00582939" w:rsidRDefault="00582939" w:rsidP="00582939">
      <w:pPr>
        <w:pStyle w:val="Sous-titre"/>
        <w:spacing w:after="240"/>
      </w:pPr>
      <w:r w:rsidRPr="00582939">
        <w:rPr>
          <w:rStyle w:val="Accentuationlgre"/>
        </w:rPr>
        <w:t>Response to the questionnaire</w:t>
      </w:r>
    </w:p>
    <w:p w14:paraId="787C48B2" w14:textId="4D708EA4" w:rsidR="00742588" w:rsidRPr="00742588" w:rsidRDefault="002F7F8C" w:rsidP="00742588">
      <w:pPr>
        <w:spacing w:after="240"/>
        <w:rPr>
          <w:lang w:val="en-GB"/>
        </w:rPr>
      </w:pPr>
      <w:r>
        <w:rPr>
          <w:lang w:val="en-GB"/>
        </w:rPr>
        <w:t>S</w:t>
      </w:r>
      <w:r w:rsidR="00665069">
        <w:rPr>
          <w:lang w:val="en-GB"/>
        </w:rPr>
        <w:t xml:space="preserve">ince the consultation is </w:t>
      </w:r>
      <w:r>
        <w:rPr>
          <w:lang w:val="en-GB"/>
        </w:rPr>
        <w:t xml:space="preserve">in the form of </w:t>
      </w:r>
      <w:r w:rsidR="00665069">
        <w:rPr>
          <w:lang w:val="en-GB"/>
        </w:rPr>
        <w:t xml:space="preserve">a questionnaire, </w:t>
      </w:r>
      <w:r w:rsidR="00AF2C68">
        <w:rPr>
          <w:lang w:val="en-GB"/>
        </w:rPr>
        <w:t xml:space="preserve">to submit our feedback above, </w:t>
      </w:r>
      <w:r w:rsidR="00665069">
        <w:rPr>
          <w:lang w:val="en-GB"/>
        </w:rPr>
        <w:t xml:space="preserve">we have used the following </w:t>
      </w:r>
      <w:r>
        <w:rPr>
          <w:lang w:val="en-GB"/>
        </w:rPr>
        <w:t xml:space="preserve">most relevant </w:t>
      </w:r>
      <w:r w:rsidR="00665069">
        <w:rPr>
          <w:lang w:val="en-GB"/>
        </w:rPr>
        <w:t>question</w:t>
      </w:r>
      <w:r w:rsidR="00582939">
        <w:rPr>
          <w:lang w:val="en-GB"/>
        </w:rPr>
        <w:t xml:space="preserve"> (</w:t>
      </w:r>
      <w:r w:rsidR="00042E4F">
        <w:rPr>
          <w:lang w:val="en-GB"/>
        </w:rPr>
        <w:t>5</w:t>
      </w:r>
      <w:r w:rsidR="00582939">
        <w:rPr>
          <w:lang w:val="en-GB"/>
        </w:rPr>
        <w:t>)</w:t>
      </w:r>
      <w:r w:rsidR="00665069">
        <w:rPr>
          <w:lang w:val="en-GB"/>
        </w:rPr>
        <w:t xml:space="preserve"> </w:t>
      </w:r>
      <w:r>
        <w:rPr>
          <w:lang w:val="en-GB"/>
        </w:rPr>
        <w:t>allowing a reply in free text format: “</w:t>
      </w:r>
      <w:r w:rsidR="00742588" w:rsidRPr="00742588">
        <w:rPr>
          <w:lang w:val="en-GB"/>
        </w:rPr>
        <w:t>In your direct experience, what are the most important obstacles in the transition to more sustainable practices?”</w:t>
      </w:r>
      <w:r>
        <w:rPr>
          <w:lang w:val="en-GB"/>
        </w:rPr>
        <w:t>.</w:t>
      </w:r>
    </w:p>
    <w:p w14:paraId="4BFA0304" w14:textId="5CB2362D" w:rsidR="00742588" w:rsidRPr="00742588" w:rsidRDefault="00582939" w:rsidP="00742588">
      <w:pPr>
        <w:spacing w:after="240"/>
        <w:rPr>
          <w:lang w:val="en-GB"/>
        </w:rPr>
      </w:pPr>
      <w:r>
        <w:rPr>
          <w:lang w:val="en-GB"/>
        </w:rPr>
        <w:t xml:space="preserve">In reply to </w:t>
      </w:r>
      <w:r w:rsidR="00042E4F">
        <w:rPr>
          <w:lang w:val="en-GB"/>
        </w:rPr>
        <w:t xml:space="preserve">the </w:t>
      </w:r>
      <w:r>
        <w:rPr>
          <w:lang w:val="en-GB"/>
        </w:rPr>
        <w:t>question “</w:t>
      </w:r>
      <w:r w:rsidR="00742588" w:rsidRPr="00742588">
        <w:rPr>
          <w:lang w:val="en-GB"/>
        </w:rPr>
        <w:t>How important would you consider that the activity of a food system actor (to be considered as covering their internal operations/processes and/or products, within their businesses and under their control) should not significantly harm the following aspects</w:t>
      </w:r>
      <w:r>
        <w:rPr>
          <w:lang w:val="en-GB"/>
        </w:rPr>
        <w:t>?</w:t>
      </w:r>
      <w:r w:rsidR="00742588" w:rsidRPr="00742588">
        <w:rPr>
          <w:lang w:val="en-GB"/>
        </w:rPr>
        <w:t>”</w:t>
      </w:r>
      <w:r>
        <w:rPr>
          <w:lang w:val="en-GB"/>
        </w:rPr>
        <w:t xml:space="preserve">, we selected the </w:t>
      </w:r>
      <w:r w:rsidR="00742588" w:rsidRPr="00742588">
        <w:rPr>
          <w:lang w:val="en-GB"/>
        </w:rPr>
        <w:t xml:space="preserve">following two </w:t>
      </w:r>
      <w:r>
        <w:rPr>
          <w:lang w:val="en-GB"/>
        </w:rPr>
        <w:t>item</w:t>
      </w:r>
      <w:r w:rsidR="00742588" w:rsidRPr="00742588">
        <w:rPr>
          <w:lang w:val="en-GB"/>
        </w:rPr>
        <w:t xml:space="preserve">s:  </w:t>
      </w:r>
    </w:p>
    <w:p w14:paraId="51529A2D" w14:textId="22719979" w:rsidR="00742588" w:rsidRPr="00582939" w:rsidRDefault="00742588" w:rsidP="00582939">
      <w:pPr>
        <w:pStyle w:val="Paragraphedeliste"/>
        <w:numPr>
          <w:ilvl w:val="0"/>
          <w:numId w:val="28"/>
        </w:numPr>
        <w:spacing w:after="240"/>
        <w:rPr>
          <w:lang w:val="en-GB"/>
        </w:rPr>
      </w:pPr>
      <w:r w:rsidRPr="00582939">
        <w:rPr>
          <w:lang w:val="en-GB"/>
        </w:rPr>
        <w:t>Accessibility of sustainable food</w:t>
      </w:r>
      <w:r w:rsidR="00582939">
        <w:rPr>
          <w:lang w:val="en-GB"/>
        </w:rPr>
        <w:t>, and</w:t>
      </w:r>
    </w:p>
    <w:p w14:paraId="68F19580" w14:textId="7F10AFA6" w:rsidR="00742588" w:rsidRPr="00582939" w:rsidRDefault="00742588" w:rsidP="00582939">
      <w:pPr>
        <w:pStyle w:val="Paragraphedeliste"/>
        <w:numPr>
          <w:ilvl w:val="0"/>
          <w:numId w:val="28"/>
        </w:numPr>
        <w:spacing w:after="240"/>
        <w:rPr>
          <w:lang w:val="en-GB"/>
        </w:rPr>
      </w:pPr>
      <w:r w:rsidRPr="00582939">
        <w:rPr>
          <w:lang w:val="en-GB"/>
        </w:rPr>
        <w:t>Other</w:t>
      </w:r>
      <w:r w:rsidR="00582939">
        <w:rPr>
          <w:lang w:val="en-GB"/>
        </w:rPr>
        <w:t xml:space="preserve"> – specifying this:</w:t>
      </w:r>
      <w:r w:rsidRPr="00582939">
        <w:rPr>
          <w:lang w:val="en-GB"/>
        </w:rPr>
        <w:t xml:space="preserve"> “Labelling of food products that is accessible for visually impaired consumers – see </w:t>
      </w:r>
      <w:r w:rsidR="00582939">
        <w:rPr>
          <w:lang w:val="en-GB"/>
        </w:rPr>
        <w:t xml:space="preserve">our </w:t>
      </w:r>
      <w:r w:rsidRPr="00582939">
        <w:rPr>
          <w:lang w:val="en-GB"/>
        </w:rPr>
        <w:t xml:space="preserve">reply to question </w:t>
      </w:r>
      <w:r w:rsidR="00042E4F">
        <w:rPr>
          <w:lang w:val="en-GB"/>
        </w:rPr>
        <w:t>5</w:t>
      </w:r>
      <w:r w:rsidRPr="00582939">
        <w:rPr>
          <w:lang w:val="en-GB"/>
        </w:rPr>
        <w:t>”</w:t>
      </w:r>
    </w:p>
    <w:p w14:paraId="23D7F20E" w14:textId="74878751" w:rsidR="00742588" w:rsidRPr="00742588" w:rsidRDefault="00AD0F7C" w:rsidP="00742588">
      <w:pPr>
        <w:spacing w:after="240"/>
        <w:rPr>
          <w:lang w:val="en-GB"/>
        </w:rPr>
      </w:pPr>
      <w:r>
        <w:rPr>
          <w:lang w:val="en-GB"/>
        </w:rPr>
        <w:t xml:space="preserve">And in reply to </w:t>
      </w:r>
      <w:r w:rsidR="00042E4F">
        <w:rPr>
          <w:lang w:val="en-GB"/>
        </w:rPr>
        <w:t xml:space="preserve">the </w:t>
      </w:r>
      <w:r>
        <w:rPr>
          <w:lang w:val="en-GB"/>
        </w:rPr>
        <w:t xml:space="preserve">question </w:t>
      </w:r>
      <w:r w:rsidR="00742588" w:rsidRPr="00742588">
        <w:rPr>
          <w:lang w:val="en-GB"/>
        </w:rPr>
        <w:t>“On which of the below aspects of sustainability, should consumers receive information to empower them to make sustainable food choices</w:t>
      </w:r>
      <w:r>
        <w:rPr>
          <w:lang w:val="en-GB"/>
        </w:rPr>
        <w:t>?”, w</w:t>
      </w:r>
      <w:r w:rsidR="00742588" w:rsidRPr="00742588">
        <w:rPr>
          <w:lang w:val="en-GB"/>
        </w:rPr>
        <w:t xml:space="preserve">e would put “Other” at the top and </w:t>
      </w:r>
      <w:r>
        <w:rPr>
          <w:lang w:val="en-GB"/>
        </w:rPr>
        <w:t>specified as follows:</w:t>
      </w:r>
      <w:r w:rsidR="00742588" w:rsidRPr="00742588">
        <w:rPr>
          <w:lang w:val="en-GB"/>
        </w:rPr>
        <w:t xml:space="preserve"> “Labelling of food products that is accessible for visually impaired consumers – see reply to question </w:t>
      </w:r>
      <w:r w:rsidR="00042E4F">
        <w:rPr>
          <w:lang w:val="en-GB"/>
        </w:rPr>
        <w:t>5</w:t>
      </w:r>
      <w:r w:rsidR="00742588" w:rsidRPr="00742588">
        <w:rPr>
          <w:lang w:val="en-GB"/>
        </w:rPr>
        <w:t>. Note: EBU has no opinion on the order of importance of the subsequent aspects, we just left them as they were.”</w:t>
      </w:r>
    </w:p>
    <w:p w14:paraId="546A1BDF" w14:textId="710B9369" w:rsidR="00742588" w:rsidRDefault="00742588" w:rsidP="00742588">
      <w:pPr>
        <w:spacing w:after="240"/>
        <w:rPr>
          <w:lang w:val="en-GB"/>
        </w:rPr>
      </w:pPr>
      <w:r w:rsidRPr="00742588">
        <w:rPr>
          <w:lang w:val="en-GB"/>
        </w:rPr>
        <w:t xml:space="preserve">Lastly, in reply to </w:t>
      </w:r>
      <w:r w:rsidR="00042E4F">
        <w:rPr>
          <w:lang w:val="en-GB"/>
        </w:rPr>
        <w:t xml:space="preserve">the </w:t>
      </w:r>
      <w:r w:rsidRPr="00742588">
        <w:rPr>
          <w:lang w:val="en-GB"/>
        </w:rPr>
        <w:t>question “To what extent do the following factors prevent food system actors from making sustainable choices in the production/processing/distribution/consumption of food products</w:t>
      </w:r>
      <w:r w:rsidR="00AD0F7C">
        <w:rPr>
          <w:lang w:val="en-GB"/>
        </w:rPr>
        <w:t>?</w:t>
      </w:r>
      <w:r w:rsidRPr="00742588">
        <w:rPr>
          <w:lang w:val="en-GB"/>
        </w:rPr>
        <w:t xml:space="preserve">”, </w:t>
      </w:r>
      <w:r w:rsidR="00AD0F7C">
        <w:rPr>
          <w:lang w:val="en-GB"/>
        </w:rPr>
        <w:t>we selected</w:t>
      </w:r>
      <w:r w:rsidRPr="00742588">
        <w:rPr>
          <w:lang w:val="en-GB"/>
        </w:rPr>
        <w:t xml:space="preserve"> “Insufficient availability of/accessibility to sustainable processes/products/services”.</w:t>
      </w:r>
    </w:p>
    <w:p w14:paraId="6404CB21" w14:textId="77777777" w:rsidR="009D7F77" w:rsidRPr="006C4F92" w:rsidRDefault="009D7F77" w:rsidP="009D7F77">
      <w:pPr>
        <w:rPr>
          <w:lang w:val="en-GB"/>
        </w:rPr>
      </w:pPr>
    </w:p>
    <w:p w14:paraId="33F6D86F" w14:textId="77777777" w:rsidR="007C528B" w:rsidRPr="00377361" w:rsidRDefault="006C4F92" w:rsidP="0080219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07DD" w14:textId="77777777" w:rsidR="0049669D" w:rsidRDefault="0049669D" w:rsidP="00D17D8A">
      <w:r>
        <w:separator/>
      </w:r>
    </w:p>
  </w:endnote>
  <w:endnote w:type="continuationSeparator" w:id="0">
    <w:p w14:paraId="38A549E9" w14:textId="77777777" w:rsidR="0049669D" w:rsidRDefault="0049669D"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23E5" w14:textId="77777777" w:rsidR="0049669D" w:rsidRDefault="0049669D" w:rsidP="00D17D8A">
      <w:r>
        <w:separator/>
      </w:r>
    </w:p>
  </w:footnote>
  <w:footnote w:type="continuationSeparator" w:id="0">
    <w:p w14:paraId="6196346B" w14:textId="77777777" w:rsidR="0049669D" w:rsidRDefault="0049669D"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75C41735"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D901B0">
          <w:rPr>
            <w:sz w:val="24"/>
            <w:szCs w:val="24"/>
          </w:rPr>
          <w:t>July</w:t>
        </w:r>
        <w:r w:rsidR="006B380F">
          <w:rPr>
            <w:sz w:val="24"/>
            <w:szCs w:val="24"/>
          </w:rPr>
          <w:t xml:space="preserve"> 202</w:t>
        </w:r>
        <w:r w:rsidR="008B77F4">
          <w:rPr>
            <w:sz w:val="24"/>
            <w:szCs w:val="24"/>
          </w:rPr>
          <w:t>2</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03E"/>
    <w:multiLevelType w:val="hybridMultilevel"/>
    <w:tmpl w:val="E92AA03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12423"/>
    <w:multiLevelType w:val="hybridMultilevel"/>
    <w:tmpl w:val="34F0443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032389"/>
    <w:multiLevelType w:val="hybridMultilevel"/>
    <w:tmpl w:val="FBD6C3C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4C7187"/>
    <w:multiLevelType w:val="hybridMultilevel"/>
    <w:tmpl w:val="10BA224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F5673B"/>
    <w:multiLevelType w:val="hybridMultilevel"/>
    <w:tmpl w:val="2840857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E149FC"/>
    <w:multiLevelType w:val="hybridMultilevel"/>
    <w:tmpl w:val="07B62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000FB3"/>
    <w:multiLevelType w:val="hybridMultilevel"/>
    <w:tmpl w:val="D7EE845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043D00"/>
    <w:multiLevelType w:val="hybridMultilevel"/>
    <w:tmpl w:val="C54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3207C"/>
    <w:multiLevelType w:val="hybridMultilevel"/>
    <w:tmpl w:val="E800F9D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2F0FE5"/>
    <w:multiLevelType w:val="hybridMultilevel"/>
    <w:tmpl w:val="F0EC4A04"/>
    <w:lvl w:ilvl="0" w:tplc="A8568BD6">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3041D2"/>
    <w:multiLevelType w:val="hybridMultilevel"/>
    <w:tmpl w:val="BC7A3F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0F2AF2"/>
    <w:multiLevelType w:val="hybridMultilevel"/>
    <w:tmpl w:val="8578E0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2241046">
    <w:abstractNumId w:val="23"/>
  </w:num>
  <w:num w:numId="2" w16cid:durableId="291059597">
    <w:abstractNumId w:val="5"/>
  </w:num>
  <w:num w:numId="3" w16cid:durableId="1656374013">
    <w:abstractNumId w:val="6"/>
  </w:num>
  <w:num w:numId="4" w16cid:durableId="1289046315">
    <w:abstractNumId w:val="8"/>
  </w:num>
  <w:num w:numId="5" w16cid:durableId="566693080">
    <w:abstractNumId w:val="2"/>
  </w:num>
  <w:num w:numId="6" w16cid:durableId="2000965823">
    <w:abstractNumId w:val="3"/>
  </w:num>
  <w:num w:numId="7" w16cid:durableId="1860387733">
    <w:abstractNumId w:val="13"/>
  </w:num>
  <w:num w:numId="8" w16cid:durableId="373505578">
    <w:abstractNumId w:val="17"/>
  </w:num>
  <w:num w:numId="9" w16cid:durableId="80639416">
    <w:abstractNumId w:val="22"/>
  </w:num>
  <w:num w:numId="10" w16cid:durableId="261185767">
    <w:abstractNumId w:val="20"/>
  </w:num>
  <w:num w:numId="11" w16cid:durableId="1439518762">
    <w:abstractNumId w:val="26"/>
  </w:num>
  <w:num w:numId="12" w16cid:durableId="1836804444">
    <w:abstractNumId w:val="15"/>
  </w:num>
  <w:num w:numId="13" w16cid:durableId="1826236193">
    <w:abstractNumId w:val="25"/>
  </w:num>
  <w:num w:numId="14" w16cid:durableId="2042121405">
    <w:abstractNumId w:val="27"/>
  </w:num>
  <w:num w:numId="15" w16cid:durableId="621112127">
    <w:abstractNumId w:val="19"/>
  </w:num>
  <w:num w:numId="16" w16cid:durableId="753286416">
    <w:abstractNumId w:val="7"/>
  </w:num>
  <w:num w:numId="17" w16cid:durableId="1238982078">
    <w:abstractNumId w:val="16"/>
  </w:num>
  <w:num w:numId="18" w16cid:durableId="1610241956">
    <w:abstractNumId w:val="10"/>
  </w:num>
  <w:num w:numId="19" w16cid:durableId="190267659">
    <w:abstractNumId w:val="18"/>
  </w:num>
  <w:num w:numId="20" w16cid:durableId="1442144619">
    <w:abstractNumId w:val="14"/>
  </w:num>
  <w:num w:numId="21" w16cid:durableId="769738266">
    <w:abstractNumId w:val="11"/>
  </w:num>
  <w:num w:numId="22" w16cid:durableId="456871754">
    <w:abstractNumId w:val="24"/>
  </w:num>
  <w:num w:numId="23" w16cid:durableId="1247959864">
    <w:abstractNumId w:val="1"/>
  </w:num>
  <w:num w:numId="24" w16cid:durableId="1480347145">
    <w:abstractNumId w:val="21"/>
  </w:num>
  <w:num w:numId="25" w16cid:durableId="859199119">
    <w:abstractNumId w:val="9"/>
  </w:num>
  <w:num w:numId="26" w16cid:durableId="904877181">
    <w:abstractNumId w:val="4"/>
  </w:num>
  <w:num w:numId="27" w16cid:durableId="1672488299">
    <w:abstractNumId w:val="12"/>
  </w:num>
  <w:num w:numId="28" w16cid:durableId="12420256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30258"/>
    <w:rsid w:val="00032108"/>
    <w:rsid w:val="00032B8F"/>
    <w:rsid w:val="0003481F"/>
    <w:rsid w:val="00035EBB"/>
    <w:rsid w:val="00037AF0"/>
    <w:rsid w:val="0004270E"/>
    <w:rsid w:val="00042E4F"/>
    <w:rsid w:val="00043E44"/>
    <w:rsid w:val="000446B0"/>
    <w:rsid w:val="00044BF4"/>
    <w:rsid w:val="00044CB9"/>
    <w:rsid w:val="00044FBE"/>
    <w:rsid w:val="000450CE"/>
    <w:rsid w:val="00045FCF"/>
    <w:rsid w:val="00047FFB"/>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B6530"/>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68F8"/>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61BE"/>
    <w:rsid w:val="001963C3"/>
    <w:rsid w:val="001968D2"/>
    <w:rsid w:val="001974DE"/>
    <w:rsid w:val="001975C2"/>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0060"/>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7EC4"/>
    <w:rsid w:val="00281545"/>
    <w:rsid w:val="00283DBF"/>
    <w:rsid w:val="00286192"/>
    <w:rsid w:val="002911F0"/>
    <w:rsid w:val="00291367"/>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2A5"/>
    <w:rsid w:val="002D687F"/>
    <w:rsid w:val="002D6D8B"/>
    <w:rsid w:val="002D6F0D"/>
    <w:rsid w:val="002D7E17"/>
    <w:rsid w:val="002E26B1"/>
    <w:rsid w:val="002E2C2C"/>
    <w:rsid w:val="002E3471"/>
    <w:rsid w:val="002E4073"/>
    <w:rsid w:val="002E4BD4"/>
    <w:rsid w:val="002E5273"/>
    <w:rsid w:val="002E5EA6"/>
    <w:rsid w:val="002E63E3"/>
    <w:rsid w:val="002F0F73"/>
    <w:rsid w:val="002F2445"/>
    <w:rsid w:val="002F3E52"/>
    <w:rsid w:val="002F70A3"/>
    <w:rsid w:val="002F7723"/>
    <w:rsid w:val="002F7F8C"/>
    <w:rsid w:val="00300147"/>
    <w:rsid w:val="00300FBE"/>
    <w:rsid w:val="00301FAB"/>
    <w:rsid w:val="00302912"/>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69D"/>
    <w:rsid w:val="00496FB2"/>
    <w:rsid w:val="004974B7"/>
    <w:rsid w:val="0049788D"/>
    <w:rsid w:val="004979A6"/>
    <w:rsid w:val="00497D0C"/>
    <w:rsid w:val="00497F4D"/>
    <w:rsid w:val="004A06D6"/>
    <w:rsid w:val="004A25CE"/>
    <w:rsid w:val="004A3150"/>
    <w:rsid w:val="004A4520"/>
    <w:rsid w:val="004A4872"/>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2A5"/>
    <w:rsid w:val="004D0DBE"/>
    <w:rsid w:val="004D25C1"/>
    <w:rsid w:val="004D27DC"/>
    <w:rsid w:val="004D28C1"/>
    <w:rsid w:val="004D660F"/>
    <w:rsid w:val="004E03B6"/>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939"/>
    <w:rsid w:val="00582FCA"/>
    <w:rsid w:val="0058587B"/>
    <w:rsid w:val="0058663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069"/>
    <w:rsid w:val="00665DFE"/>
    <w:rsid w:val="00667818"/>
    <w:rsid w:val="00671AAE"/>
    <w:rsid w:val="006736C3"/>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74C"/>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2AD"/>
    <w:rsid w:val="006D1624"/>
    <w:rsid w:val="006D1B09"/>
    <w:rsid w:val="006D3F70"/>
    <w:rsid w:val="006D4BCA"/>
    <w:rsid w:val="006E2FA2"/>
    <w:rsid w:val="006E3BCA"/>
    <w:rsid w:val="006E41F0"/>
    <w:rsid w:val="006F134A"/>
    <w:rsid w:val="006F161B"/>
    <w:rsid w:val="006F1A48"/>
    <w:rsid w:val="006F2BD5"/>
    <w:rsid w:val="006F35F2"/>
    <w:rsid w:val="006F3CB0"/>
    <w:rsid w:val="006F4376"/>
    <w:rsid w:val="006F52B6"/>
    <w:rsid w:val="006F5960"/>
    <w:rsid w:val="00702452"/>
    <w:rsid w:val="007025C3"/>
    <w:rsid w:val="00704717"/>
    <w:rsid w:val="00710FEB"/>
    <w:rsid w:val="007110E7"/>
    <w:rsid w:val="007111FE"/>
    <w:rsid w:val="007117A8"/>
    <w:rsid w:val="00713204"/>
    <w:rsid w:val="007158ED"/>
    <w:rsid w:val="00715FB6"/>
    <w:rsid w:val="007179F7"/>
    <w:rsid w:val="0072127C"/>
    <w:rsid w:val="00721842"/>
    <w:rsid w:val="00722A5F"/>
    <w:rsid w:val="00723716"/>
    <w:rsid w:val="00724EB8"/>
    <w:rsid w:val="007275CC"/>
    <w:rsid w:val="00731C4E"/>
    <w:rsid w:val="007349B2"/>
    <w:rsid w:val="0073569C"/>
    <w:rsid w:val="0073600A"/>
    <w:rsid w:val="00740912"/>
    <w:rsid w:val="00740A27"/>
    <w:rsid w:val="00741BA6"/>
    <w:rsid w:val="00742588"/>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2248"/>
    <w:rsid w:val="00784498"/>
    <w:rsid w:val="00786D57"/>
    <w:rsid w:val="007974EC"/>
    <w:rsid w:val="007A00D5"/>
    <w:rsid w:val="007A0477"/>
    <w:rsid w:val="007A0D60"/>
    <w:rsid w:val="007A0D72"/>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B653E"/>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2197"/>
    <w:rsid w:val="008045FD"/>
    <w:rsid w:val="00805C3A"/>
    <w:rsid w:val="00807808"/>
    <w:rsid w:val="008113FE"/>
    <w:rsid w:val="00811756"/>
    <w:rsid w:val="0081363D"/>
    <w:rsid w:val="00813734"/>
    <w:rsid w:val="008162C3"/>
    <w:rsid w:val="00816543"/>
    <w:rsid w:val="00816923"/>
    <w:rsid w:val="00821E08"/>
    <w:rsid w:val="008256B2"/>
    <w:rsid w:val="00825C98"/>
    <w:rsid w:val="0082615D"/>
    <w:rsid w:val="008277E0"/>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46F0"/>
    <w:rsid w:val="00846CCB"/>
    <w:rsid w:val="0084755D"/>
    <w:rsid w:val="00853C6E"/>
    <w:rsid w:val="008545B3"/>
    <w:rsid w:val="0085544A"/>
    <w:rsid w:val="00857EA6"/>
    <w:rsid w:val="0086081D"/>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610F"/>
    <w:rsid w:val="008A1778"/>
    <w:rsid w:val="008A1C05"/>
    <w:rsid w:val="008A2430"/>
    <w:rsid w:val="008A419F"/>
    <w:rsid w:val="008A4403"/>
    <w:rsid w:val="008A5A8F"/>
    <w:rsid w:val="008A6D2E"/>
    <w:rsid w:val="008A6F75"/>
    <w:rsid w:val="008A7DA9"/>
    <w:rsid w:val="008A7F2F"/>
    <w:rsid w:val="008B18F5"/>
    <w:rsid w:val="008B3331"/>
    <w:rsid w:val="008B77F4"/>
    <w:rsid w:val="008C0548"/>
    <w:rsid w:val="008C0582"/>
    <w:rsid w:val="008C103F"/>
    <w:rsid w:val="008C1BB0"/>
    <w:rsid w:val="008C1DB6"/>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067"/>
    <w:rsid w:val="008F78F2"/>
    <w:rsid w:val="008F7AC6"/>
    <w:rsid w:val="00901703"/>
    <w:rsid w:val="00904335"/>
    <w:rsid w:val="009048F5"/>
    <w:rsid w:val="009053E4"/>
    <w:rsid w:val="00910A6C"/>
    <w:rsid w:val="00911233"/>
    <w:rsid w:val="00912BBE"/>
    <w:rsid w:val="0091463F"/>
    <w:rsid w:val="009146B6"/>
    <w:rsid w:val="00915015"/>
    <w:rsid w:val="0091628B"/>
    <w:rsid w:val="009169AF"/>
    <w:rsid w:val="009173E2"/>
    <w:rsid w:val="0091785F"/>
    <w:rsid w:val="009239F4"/>
    <w:rsid w:val="00923B6B"/>
    <w:rsid w:val="00923DE6"/>
    <w:rsid w:val="0092605E"/>
    <w:rsid w:val="00927571"/>
    <w:rsid w:val="00927A98"/>
    <w:rsid w:val="00927DBD"/>
    <w:rsid w:val="00927E5A"/>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2C6A"/>
    <w:rsid w:val="0098688A"/>
    <w:rsid w:val="0099338C"/>
    <w:rsid w:val="009937DB"/>
    <w:rsid w:val="00996EA7"/>
    <w:rsid w:val="009A0728"/>
    <w:rsid w:val="009A0A71"/>
    <w:rsid w:val="009A28F6"/>
    <w:rsid w:val="009A34DE"/>
    <w:rsid w:val="009A417A"/>
    <w:rsid w:val="009A670F"/>
    <w:rsid w:val="009A6B39"/>
    <w:rsid w:val="009A6EC6"/>
    <w:rsid w:val="009A7F40"/>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D7F77"/>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874"/>
    <w:rsid w:val="00A05960"/>
    <w:rsid w:val="00A05E6D"/>
    <w:rsid w:val="00A0635D"/>
    <w:rsid w:val="00A06A6E"/>
    <w:rsid w:val="00A10FF8"/>
    <w:rsid w:val="00A12CED"/>
    <w:rsid w:val="00A13384"/>
    <w:rsid w:val="00A14459"/>
    <w:rsid w:val="00A144AB"/>
    <w:rsid w:val="00A16463"/>
    <w:rsid w:val="00A17356"/>
    <w:rsid w:val="00A174B9"/>
    <w:rsid w:val="00A20064"/>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924"/>
    <w:rsid w:val="00A61ACF"/>
    <w:rsid w:val="00A62033"/>
    <w:rsid w:val="00A62A9C"/>
    <w:rsid w:val="00A64140"/>
    <w:rsid w:val="00A667CD"/>
    <w:rsid w:val="00A701B4"/>
    <w:rsid w:val="00A718D9"/>
    <w:rsid w:val="00A759E2"/>
    <w:rsid w:val="00A77733"/>
    <w:rsid w:val="00A801D4"/>
    <w:rsid w:val="00A837E8"/>
    <w:rsid w:val="00A84A20"/>
    <w:rsid w:val="00A860A9"/>
    <w:rsid w:val="00A91720"/>
    <w:rsid w:val="00A92CB8"/>
    <w:rsid w:val="00A96126"/>
    <w:rsid w:val="00AA1F13"/>
    <w:rsid w:val="00AA43ED"/>
    <w:rsid w:val="00AA6226"/>
    <w:rsid w:val="00AA6A3D"/>
    <w:rsid w:val="00AA780E"/>
    <w:rsid w:val="00AB2962"/>
    <w:rsid w:val="00AB476D"/>
    <w:rsid w:val="00AB4EE8"/>
    <w:rsid w:val="00AB6B3C"/>
    <w:rsid w:val="00AC0DB4"/>
    <w:rsid w:val="00AC139E"/>
    <w:rsid w:val="00AC2C5F"/>
    <w:rsid w:val="00AC7013"/>
    <w:rsid w:val="00AC72F8"/>
    <w:rsid w:val="00AD04AC"/>
    <w:rsid w:val="00AD0804"/>
    <w:rsid w:val="00AD0F7C"/>
    <w:rsid w:val="00AD16A4"/>
    <w:rsid w:val="00AD2121"/>
    <w:rsid w:val="00AD5A5C"/>
    <w:rsid w:val="00AE0F3F"/>
    <w:rsid w:val="00AE1307"/>
    <w:rsid w:val="00AE4077"/>
    <w:rsid w:val="00AE6C79"/>
    <w:rsid w:val="00AE76FA"/>
    <w:rsid w:val="00AF01A7"/>
    <w:rsid w:val="00AF2C68"/>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50FA"/>
    <w:rsid w:val="00B65D56"/>
    <w:rsid w:val="00B66177"/>
    <w:rsid w:val="00B66DE6"/>
    <w:rsid w:val="00B70DDE"/>
    <w:rsid w:val="00B71883"/>
    <w:rsid w:val="00B7219E"/>
    <w:rsid w:val="00B7410D"/>
    <w:rsid w:val="00B752C4"/>
    <w:rsid w:val="00B77371"/>
    <w:rsid w:val="00B81212"/>
    <w:rsid w:val="00B81ACA"/>
    <w:rsid w:val="00B81B84"/>
    <w:rsid w:val="00B8373E"/>
    <w:rsid w:val="00B83E33"/>
    <w:rsid w:val="00B84C04"/>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46F"/>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15B6E"/>
    <w:rsid w:val="00C23A76"/>
    <w:rsid w:val="00C23FCE"/>
    <w:rsid w:val="00C240FB"/>
    <w:rsid w:val="00C24A34"/>
    <w:rsid w:val="00C259CC"/>
    <w:rsid w:val="00C264D8"/>
    <w:rsid w:val="00C30D72"/>
    <w:rsid w:val="00C324BB"/>
    <w:rsid w:val="00C34E44"/>
    <w:rsid w:val="00C36869"/>
    <w:rsid w:val="00C3711A"/>
    <w:rsid w:val="00C37E8F"/>
    <w:rsid w:val="00C403E4"/>
    <w:rsid w:val="00C418F9"/>
    <w:rsid w:val="00C420FA"/>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6ED2"/>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07C"/>
    <w:rsid w:val="00CA3144"/>
    <w:rsid w:val="00CA4039"/>
    <w:rsid w:val="00CA5877"/>
    <w:rsid w:val="00CA7BD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3E29"/>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3F86"/>
    <w:rsid w:val="00D35040"/>
    <w:rsid w:val="00D36611"/>
    <w:rsid w:val="00D36E5F"/>
    <w:rsid w:val="00D40094"/>
    <w:rsid w:val="00D41E71"/>
    <w:rsid w:val="00D42F44"/>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27E"/>
    <w:rsid w:val="00D775B8"/>
    <w:rsid w:val="00D77C28"/>
    <w:rsid w:val="00D77E31"/>
    <w:rsid w:val="00D77E5D"/>
    <w:rsid w:val="00D83DD9"/>
    <w:rsid w:val="00D8458F"/>
    <w:rsid w:val="00D84725"/>
    <w:rsid w:val="00D86A74"/>
    <w:rsid w:val="00D86C71"/>
    <w:rsid w:val="00D87958"/>
    <w:rsid w:val="00D901B0"/>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3EE4"/>
    <w:rsid w:val="00E24C3B"/>
    <w:rsid w:val="00E24D44"/>
    <w:rsid w:val="00E2513B"/>
    <w:rsid w:val="00E301F4"/>
    <w:rsid w:val="00E32284"/>
    <w:rsid w:val="00E324BC"/>
    <w:rsid w:val="00E33758"/>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F08"/>
    <w:rsid w:val="00E62150"/>
    <w:rsid w:val="00E63B27"/>
    <w:rsid w:val="00E64725"/>
    <w:rsid w:val="00E656C9"/>
    <w:rsid w:val="00E6598A"/>
    <w:rsid w:val="00E66A6A"/>
    <w:rsid w:val="00E67E51"/>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3CA"/>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571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894"/>
    <w:rsid w:val="00FC4B33"/>
    <w:rsid w:val="00FC4FBC"/>
    <w:rsid w:val="00FC5981"/>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02197"/>
    <w:pPr>
      <w:keepNext/>
      <w:ind w:left="851" w:hanging="851"/>
      <w:outlineLvl w:val="0"/>
    </w:pPr>
    <w:rPr>
      <w:rFonts w:cs="Arial"/>
      <w:b/>
      <w:bCs/>
      <w:color w:val="003D82"/>
      <w:sz w:val="32"/>
      <w:szCs w:val="32"/>
      <w:lang w:val="en-GB"/>
    </w:rPr>
  </w:style>
  <w:style w:type="paragraph" w:styleId="Titre2">
    <w:name w:val="heading 2"/>
    <w:basedOn w:val="Paragraphedeliste"/>
    <w:next w:val="Normal"/>
    <w:link w:val="Titre2Car"/>
    <w:uiPriority w:val="9"/>
    <w:unhideWhenUsed/>
    <w:qFormat/>
    <w:rsid w:val="00C403E4"/>
    <w:pPr>
      <w:ind w:left="1134" w:hanging="1134"/>
      <w:outlineLvl w:val="1"/>
    </w:pPr>
    <w:rPr>
      <w:bCs/>
      <w:color w:val="003D82"/>
      <w:sz w:val="32"/>
      <w:szCs w:val="32"/>
      <w:u w:val="single"/>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197"/>
    <w:rPr>
      <w:rFonts w:cs="Arial"/>
      <w:b/>
      <w:bCs/>
      <w:color w:val="003D82"/>
      <w:sz w:val="32"/>
      <w:szCs w:val="32"/>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C403E4"/>
    <w:rPr>
      <w:bCs/>
      <w:color w:val="003D82"/>
      <w:sz w:val="32"/>
      <w:szCs w:val="32"/>
      <w:u w:val="single"/>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 w:type="character" w:styleId="Accentuationintense">
    <w:name w:val="Intense Emphasis"/>
    <w:basedOn w:val="Policepardfaut"/>
    <w:uiPriority w:val="21"/>
    <w:qFormat/>
    <w:rsid w:val="00742588"/>
    <w:rPr>
      <w:rFonts w:cs="Arial"/>
      <w:b/>
      <w:b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678</TotalTime>
  <Pages>4</Pages>
  <Words>814</Words>
  <Characters>4478</Characters>
  <Application>Microsoft Office Word</Application>
  <DocSecurity>0</DocSecurity>
  <Lines>37</Lines>
  <Paragraphs>10</Paragraphs>
  <ScaleCrop>false</ScaleCrop>
  <HeadingPairs>
    <vt:vector size="10" baseType="variant">
      <vt:variant>
        <vt:lpstr>Titre</vt:lpstr>
      </vt:variant>
      <vt:variant>
        <vt:i4>1</vt:i4>
      </vt:variant>
      <vt:variant>
        <vt:lpstr>Titres</vt:lpstr>
      </vt:variant>
      <vt:variant>
        <vt:i4>5</vt:i4>
      </vt:variant>
      <vt:variant>
        <vt:lpstr>Titel</vt:lpstr>
      </vt:variant>
      <vt:variant>
        <vt:i4>1</vt:i4>
      </vt:variant>
      <vt:variant>
        <vt:lpstr>Title</vt:lpstr>
      </vt:variant>
      <vt:variant>
        <vt:i4>1</vt:i4>
      </vt:variant>
      <vt:variant>
        <vt:lpstr>Rubrik</vt:lpstr>
      </vt:variant>
      <vt:variant>
        <vt:i4>1</vt:i4>
      </vt:variant>
    </vt:vector>
  </HeadingPairs>
  <TitlesOfParts>
    <vt:vector size="9" baseType="lpstr">
      <vt:lpstr>EBU Position Paper</vt:lpstr>
      <vt:lpstr>European Blind Union response to the European Commission’s public consultation o</vt:lpstr>
      <vt:lpstr>Aim of the consultation</vt:lpstr>
      <vt:lpstr>General remarks</vt:lpstr>
      <vt:lpstr>Response to the questionnaire</vt:lpstr>
      <vt:lpstr>About EBU</vt:lpstr>
      <vt:lpstr>AVA - Accessible Voting Awareness-Raising</vt:lpstr>
      <vt:lpstr>AVA - Accessible Voting Awareness-Raising</vt:lpstr>
      <vt:lpstr/>
    </vt:vector>
  </TitlesOfParts>
  <Company>Synskadades Riksförbund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101</cp:revision>
  <cp:lastPrinted>2021-12-13T11:16:00Z</cp:lastPrinted>
  <dcterms:created xsi:type="dcterms:W3CDTF">2019-03-19T10:22:00Z</dcterms:created>
  <dcterms:modified xsi:type="dcterms:W3CDTF">2022-06-29T07:10:00Z</dcterms:modified>
</cp:coreProperties>
</file>